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9676" w14:textId="77777777" w:rsidR="009F3E3C" w:rsidRPr="00427C94" w:rsidRDefault="009F3E3C" w:rsidP="009F3E3C">
      <w:pPr>
        <w:rPr>
          <w:b/>
          <w:bCs/>
        </w:rPr>
      </w:pPr>
      <w:r w:rsidRPr="00427C94">
        <w:rPr>
          <w:b/>
          <w:bCs/>
        </w:rPr>
        <w:t>Контракты участия в</w:t>
      </w:r>
      <w:r w:rsidRPr="00427C94">
        <w:rPr>
          <w:b/>
          <w:bCs/>
        </w:rPr>
        <w:t xml:space="preserve"> прибыли и структуры </w:t>
      </w:r>
      <w:proofErr w:type="spellStart"/>
      <w:r w:rsidRPr="00427C94">
        <w:rPr>
          <w:b/>
          <w:bCs/>
        </w:rPr>
        <w:t>сукук</w:t>
      </w:r>
      <w:proofErr w:type="spellEnd"/>
      <w:r w:rsidRPr="00427C94">
        <w:rPr>
          <w:b/>
          <w:bCs/>
        </w:rPr>
        <w:t xml:space="preserve"> в исламском </w:t>
      </w:r>
      <w:r w:rsidRPr="00427C94">
        <w:rPr>
          <w:b/>
          <w:bCs/>
        </w:rPr>
        <w:t xml:space="preserve">проектном </w:t>
      </w:r>
      <w:r w:rsidRPr="00427C94">
        <w:rPr>
          <w:b/>
          <w:bCs/>
        </w:rPr>
        <w:t xml:space="preserve">финансировании </w:t>
      </w:r>
    </w:p>
    <w:p w14:paraId="02171878" w14:textId="77777777" w:rsidR="009F3E3C" w:rsidRDefault="009F3E3C" w:rsidP="009F3E3C"/>
    <w:p w14:paraId="4B1260C6" w14:textId="77777777" w:rsidR="009F3E3C" w:rsidRDefault="009F3E3C" w:rsidP="009F3E3C">
      <w:r>
        <w:t xml:space="preserve">М. </w:t>
      </w:r>
      <w:proofErr w:type="spellStart"/>
      <w:r>
        <w:t>Кабир</w:t>
      </w:r>
      <w:proofErr w:type="spellEnd"/>
      <w:r>
        <w:t xml:space="preserve"> Хасан</w:t>
      </w:r>
    </w:p>
    <w:p w14:paraId="1B177A14" w14:textId="77777777" w:rsidR="009F3E3C" w:rsidRDefault="009F3E3C" w:rsidP="009F3E3C"/>
    <w:p w14:paraId="6EB31C31" w14:textId="77777777" w:rsidR="009F3E3C" w:rsidRDefault="009F3E3C" w:rsidP="009F3E3C"/>
    <w:p w14:paraId="684D7637" w14:textId="45BDBB81" w:rsidR="009F3E3C" w:rsidRDefault="009F3E3C" w:rsidP="00427C94">
      <w:r>
        <w:t>Проектное финансирование</w:t>
      </w:r>
      <w:r>
        <w:t xml:space="preserve"> становится все более важным </w:t>
      </w:r>
      <w:r>
        <w:t xml:space="preserve">способом </w:t>
      </w:r>
      <w:r>
        <w:t>финансирования масштабных капиталоемких проектов, таких как электростанции, нефтепроводы, автоматизированные сталелитейные завод</w:t>
      </w:r>
      <w:r>
        <w:t>ы, дороги, порты, туннели и т. д</w:t>
      </w:r>
      <w:r>
        <w:t xml:space="preserve">. Исламские финансовые институты до сих пор </w:t>
      </w:r>
      <w:r>
        <w:t>сосредоточены</w:t>
      </w:r>
      <w:r>
        <w:t xml:space="preserve"> в основном на долго</w:t>
      </w:r>
      <w:r>
        <w:t>вом финансировании, а не долевом финансировании</w:t>
      </w:r>
      <w:r w:rsidR="00427C94">
        <w:t>,</w:t>
      </w:r>
      <w:r>
        <w:t xml:space="preserve"> </w:t>
      </w:r>
      <w:r>
        <w:t>ввиду высоких рисков последнего</w:t>
      </w:r>
      <w:r>
        <w:t xml:space="preserve">. Современная архитектура исламских финансов предусматривает ряд контрактов, которые могут быть успешно реализованы </w:t>
      </w:r>
      <w:r w:rsidR="00427C94">
        <w:t>в</w:t>
      </w:r>
      <w:r>
        <w:t xml:space="preserve"> проектном финансировании. Эти модели могут использоваться правительствами или соответствующими учреждениями для продвижения проектов, связанных с сокращением бедности и экономическими преобразованиями. Это может быть </w:t>
      </w:r>
      <w:r>
        <w:t>организовано</w:t>
      </w:r>
      <w:r>
        <w:t xml:space="preserve"> путем предоставления финансовых гарантий с целью повышения кредитоспосо</w:t>
      </w:r>
      <w:r w:rsidR="005E45D1">
        <w:t>бности и увеличения капитало</w:t>
      </w:r>
      <w:r>
        <w:t>емкости проекта</w:t>
      </w:r>
      <w:r w:rsidR="00AA2A28">
        <w:t>, где инвестиции привлекаются на принципах</w:t>
      </w:r>
      <w:r>
        <w:t xml:space="preserve"> </w:t>
      </w:r>
      <w:proofErr w:type="spellStart"/>
      <w:r>
        <w:t>мудараба</w:t>
      </w:r>
      <w:proofErr w:type="spellEnd"/>
      <w:r w:rsidR="00AA2A28">
        <w:t xml:space="preserve"> (проектного финансирования)</w:t>
      </w:r>
      <w:r>
        <w:t>.</w:t>
      </w:r>
    </w:p>
    <w:p w14:paraId="413A9A08" w14:textId="77777777" w:rsidR="00427C94" w:rsidRDefault="00427C94" w:rsidP="00427C94"/>
    <w:p w14:paraId="7EBD03E7" w14:textId="77777777" w:rsidR="009F3E3C" w:rsidRDefault="009F3E3C" w:rsidP="009F3E3C">
      <w:r>
        <w:t>Одна из альтернатив для привлечения финансирования на разв</w:t>
      </w:r>
      <w:bookmarkStart w:id="0" w:name="_GoBack"/>
      <w:bookmarkEnd w:id="0"/>
      <w:r>
        <w:t xml:space="preserve">итие инфраструктуры - использование определенных структур </w:t>
      </w:r>
      <w:proofErr w:type="spellStart"/>
      <w:r>
        <w:t>сукук</w:t>
      </w:r>
      <w:proofErr w:type="spellEnd"/>
      <w:r>
        <w:t xml:space="preserve">. Кристаллизация исламских рынков капитала (ICM) в последнее десятилетие привела к увеличению признания исламских финансовых продуктов на мировом рынке. </w:t>
      </w:r>
      <w:r>
        <w:t>Участники процесса</w:t>
      </w:r>
      <w:r>
        <w:t xml:space="preserve"> структурирования сделки </w:t>
      </w:r>
      <w:r>
        <w:t xml:space="preserve">по выпуску </w:t>
      </w:r>
      <w:proofErr w:type="spellStart"/>
      <w:r>
        <w:t>сукук</w:t>
      </w:r>
      <w:proofErr w:type="spellEnd"/>
      <w:r>
        <w:t xml:space="preserve">, </w:t>
      </w:r>
      <w:r>
        <w:t>с самого начала должны учитывать один важный аспект</w:t>
      </w:r>
      <w:r>
        <w:t xml:space="preserve"> - это </w:t>
      </w:r>
      <w:r>
        <w:t>выбор применимого права (</w:t>
      </w:r>
      <w:proofErr w:type="spellStart"/>
      <w:r w:rsidRPr="00F831E0">
        <w:rPr>
          <w:rFonts w:asciiTheme="majorBidi" w:hAnsiTheme="majorBidi" w:cstheme="majorBidi"/>
          <w:color w:val="000000"/>
        </w:rPr>
        <w:t>governing</w:t>
      </w:r>
      <w:proofErr w:type="spellEnd"/>
      <w:r w:rsidRPr="00F831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831E0">
        <w:rPr>
          <w:rFonts w:asciiTheme="majorBidi" w:hAnsiTheme="majorBidi" w:cstheme="majorBidi"/>
          <w:color w:val="000000"/>
        </w:rPr>
        <w:t>law</w:t>
      </w:r>
      <w:proofErr w:type="spellEnd"/>
      <w:r w:rsidRPr="00F831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831E0">
        <w:rPr>
          <w:rFonts w:asciiTheme="majorBidi" w:hAnsiTheme="majorBidi" w:cstheme="majorBidi"/>
          <w:color w:val="000000"/>
        </w:rPr>
        <w:t>clause</w:t>
      </w:r>
      <w:proofErr w:type="spellEnd"/>
      <w:r>
        <w:t>)</w:t>
      </w:r>
      <w:r>
        <w:t xml:space="preserve">. В связи с </w:t>
      </w:r>
      <w:r>
        <w:t>растущей популярностью в контрактах</w:t>
      </w:r>
      <w:r>
        <w:t xml:space="preserve"> английского </w:t>
      </w:r>
      <w:r>
        <w:t>права,</w:t>
      </w:r>
      <w:r>
        <w:t xml:space="preserve"> возникает вопрос</w:t>
      </w:r>
      <w:r>
        <w:t xml:space="preserve"> о</w:t>
      </w:r>
      <w:r>
        <w:t xml:space="preserve"> возможно</w:t>
      </w:r>
      <w:r>
        <w:t>сти</w:t>
      </w:r>
      <w:r>
        <w:t xml:space="preserve"> </w:t>
      </w:r>
      <w:r>
        <w:t>выбрать альтернативное</w:t>
      </w:r>
      <w:r>
        <w:t xml:space="preserve"> </w:t>
      </w:r>
      <w:r>
        <w:t>применимое право</w:t>
      </w:r>
      <w:r>
        <w:t xml:space="preserve"> при сохранении оговорки о выборе юрисдикции.</w:t>
      </w:r>
    </w:p>
    <w:p w14:paraId="0033EABE" w14:textId="77777777" w:rsidR="00427C94" w:rsidRDefault="00427C94" w:rsidP="009F3E3C"/>
    <w:p w14:paraId="344BB2A6" w14:textId="339C8E18" w:rsidR="009F3E3C" w:rsidRDefault="009F3E3C" w:rsidP="00427C94">
      <w:r>
        <w:t>На с</w:t>
      </w:r>
      <w:r>
        <w:t>еминар</w:t>
      </w:r>
      <w:r>
        <w:t>е</w:t>
      </w:r>
      <w:r>
        <w:t xml:space="preserve"> </w:t>
      </w:r>
      <w:r>
        <w:t>будут рассмотрены аспекты</w:t>
      </w:r>
      <w:r>
        <w:t>, связанные со структурированием исламского проектного ф</w:t>
      </w:r>
      <w:r>
        <w:t xml:space="preserve">инансирования и </w:t>
      </w:r>
      <w:proofErr w:type="spellStart"/>
      <w:r>
        <w:t>сукук</w:t>
      </w:r>
      <w:proofErr w:type="spellEnd"/>
      <w:r>
        <w:t>, а также возможно</w:t>
      </w:r>
      <w:r w:rsidR="00427C94">
        <w:t>сти участия</w:t>
      </w:r>
      <w:r>
        <w:t xml:space="preserve"> </w:t>
      </w:r>
      <w:r>
        <w:t>государственных структур</w:t>
      </w:r>
      <w:r>
        <w:t xml:space="preserve"> и </w:t>
      </w:r>
      <w:r>
        <w:t>международных организаций</w:t>
      </w:r>
      <w:r>
        <w:t xml:space="preserve">, таких как Исламский банк развития. </w:t>
      </w:r>
      <w:r>
        <w:t>Будут обсуждаться необходимые предпосылки</w:t>
      </w:r>
      <w:r>
        <w:t xml:space="preserve"> для улучшения доступа к фондам для исламских проектов и </w:t>
      </w:r>
      <w:r>
        <w:t>рассмотрены</w:t>
      </w:r>
      <w:r>
        <w:t xml:space="preserve"> примеры определенных моделей </w:t>
      </w:r>
      <w:proofErr w:type="spellStart"/>
      <w:r>
        <w:t>сукук</w:t>
      </w:r>
      <w:proofErr w:type="spellEnd"/>
      <w:r>
        <w:t>.</w:t>
      </w:r>
    </w:p>
    <w:p w14:paraId="57115C5A" w14:textId="77777777" w:rsidR="009F3E3C" w:rsidRDefault="009F3E3C" w:rsidP="009F3E3C"/>
    <w:p w14:paraId="5010BE90" w14:textId="77777777" w:rsidR="00B2373D" w:rsidRDefault="009F3E3C" w:rsidP="009F3E3C">
      <w:r>
        <w:t>Ключевые сл</w:t>
      </w:r>
      <w:r>
        <w:t>ова: проектное финансирование; исламские финансы; к</w:t>
      </w:r>
      <w:r>
        <w:t xml:space="preserve">онтракты </w:t>
      </w:r>
      <w:r>
        <w:t>участия</w:t>
      </w:r>
      <w:r>
        <w:t xml:space="preserve"> прибыли; финансовые гарантии; </w:t>
      </w:r>
      <w:proofErr w:type="spellStart"/>
      <w:r>
        <w:t>сукук</w:t>
      </w:r>
      <w:proofErr w:type="spellEnd"/>
    </w:p>
    <w:p w14:paraId="3C698D96" w14:textId="77777777" w:rsidR="00427C94" w:rsidRDefault="00427C94" w:rsidP="009F3E3C"/>
    <w:p w14:paraId="38698CBC" w14:textId="4553E4A3" w:rsidR="00427C94" w:rsidRDefault="00427C94" w:rsidP="009F3E3C">
      <w:r>
        <w:t>Ссылки:</w:t>
      </w:r>
    </w:p>
    <w:p w14:paraId="7C722171" w14:textId="7C439D20" w:rsidR="00427C94" w:rsidRPr="00F831E0" w:rsidRDefault="00427C94" w:rsidP="00427C94">
      <w:pPr>
        <w:jc w:val="both"/>
        <w:rPr>
          <w:rFonts w:asciiTheme="majorBidi" w:hAnsiTheme="majorBidi" w:cstheme="majorBidi"/>
        </w:rPr>
      </w:pPr>
      <w:r w:rsidRPr="00F831E0">
        <w:rPr>
          <w:rFonts w:asciiTheme="majorBidi" w:hAnsiTheme="majorBidi" w:cstheme="majorBidi"/>
        </w:rPr>
        <w:t xml:space="preserve">M. </w:t>
      </w:r>
      <w:proofErr w:type="spellStart"/>
      <w:r w:rsidRPr="00F831E0">
        <w:rPr>
          <w:rFonts w:asciiTheme="majorBidi" w:hAnsiTheme="majorBidi" w:cstheme="majorBidi"/>
        </w:rPr>
        <w:t>Kabir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Hassan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and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Issouf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Soumare</w:t>
      </w:r>
      <w:proofErr w:type="spellEnd"/>
      <w:r w:rsidRPr="00F831E0">
        <w:rPr>
          <w:rFonts w:asciiTheme="majorBidi" w:hAnsiTheme="majorBidi" w:cstheme="majorBidi"/>
        </w:rPr>
        <w:t>, “</w:t>
      </w:r>
      <w:proofErr w:type="spellStart"/>
      <w:r w:rsidRPr="00F831E0">
        <w:rPr>
          <w:rFonts w:asciiTheme="majorBidi" w:hAnsiTheme="majorBidi" w:cstheme="majorBidi"/>
        </w:rPr>
        <w:t>Guarantees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and</w:t>
      </w:r>
      <w:proofErr w:type="spellEnd"/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Profit-Sharing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Contracts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Project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Financing</w:t>
      </w:r>
      <w:proofErr w:type="spellEnd"/>
      <w:r w:rsidRPr="00F831E0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,</w:t>
      </w:r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  <w:i/>
          <w:u w:val="single"/>
        </w:rPr>
        <w:t>Journal</w:t>
      </w:r>
      <w:proofErr w:type="spellEnd"/>
      <w:r w:rsidRPr="00F831E0">
        <w:rPr>
          <w:rFonts w:asciiTheme="majorBidi" w:hAnsiTheme="majorBidi" w:cstheme="majorBidi"/>
          <w:i/>
          <w:u w:val="single"/>
        </w:rPr>
        <w:t xml:space="preserve"> </w:t>
      </w:r>
      <w:proofErr w:type="spellStart"/>
      <w:r w:rsidRPr="00F831E0">
        <w:rPr>
          <w:rFonts w:asciiTheme="majorBidi" w:hAnsiTheme="majorBidi" w:cstheme="majorBidi"/>
          <w:i/>
          <w:u w:val="single"/>
        </w:rPr>
        <w:t>of</w:t>
      </w:r>
      <w:proofErr w:type="spellEnd"/>
      <w:r w:rsidRPr="00F831E0">
        <w:rPr>
          <w:rFonts w:asciiTheme="majorBidi" w:hAnsiTheme="majorBidi" w:cstheme="majorBidi"/>
          <w:i/>
          <w:u w:val="single"/>
        </w:rPr>
        <w:t xml:space="preserve"> </w:t>
      </w:r>
      <w:proofErr w:type="spellStart"/>
      <w:r w:rsidRPr="00F831E0">
        <w:rPr>
          <w:rFonts w:asciiTheme="majorBidi" w:hAnsiTheme="majorBidi" w:cstheme="majorBidi"/>
          <w:i/>
          <w:u w:val="single"/>
        </w:rPr>
        <w:t>Business</w:t>
      </w:r>
      <w:proofErr w:type="spellEnd"/>
      <w:r w:rsidRPr="00F831E0">
        <w:rPr>
          <w:rFonts w:asciiTheme="majorBidi" w:hAnsiTheme="majorBidi" w:cstheme="majorBidi"/>
          <w:i/>
          <w:u w:val="single"/>
        </w:rPr>
        <w:t xml:space="preserve"> </w:t>
      </w:r>
      <w:proofErr w:type="spellStart"/>
      <w:r w:rsidRPr="00F831E0">
        <w:rPr>
          <w:rFonts w:asciiTheme="majorBidi" w:hAnsiTheme="majorBidi" w:cstheme="majorBidi"/>
          <w:i/>
          <w:u w:val="single"/>
        </w:rPr>
        <w:t>Ethics</w:t>
      </w:r>
      <w:proofErr w:type="spellEnd"/>
      <w:r w:rsidRPr="00F831E0">
        <w:rPr>
          <w:rFonts w:asciiTheme="majorBidi" w:hAnsiTheme="majorBidi" w:cstheme="majorBidi"/>
          <w:i/>
        </w:rPr>
        <w:t>,</w:t>
      </w:r>
      <w:r w:rsidRPr="00F831E0">
        <w:rPr>
          <w:rFonts w:asciiTheme="majorBidi" w:hAnsiTheme="majorBidi" w:cstheme="majorBidi"/>
        </w:rPr>
        <w:t xml:space="preserve"> </w:t>
      </w:r>
      <w:proofErr w:type="spellStart"/>
      <w:r w:rsidRPr="00F831E0">
        <w:rPr>
          <w:rFonts w:asciiTheme="majorBidi" w:hAnsiTheme="majorBidi" w:cstheme="majorBidi"/>
        </w:rPr>
        <w:t>August</w:t>
      </w:r>
      <w:proofErr w:type="spellEnd"/>
      <w:r w:rsidRPr="00F831E0">
        <w:rPr>
          <w:rFonts w:asciiTheme="majorBidi" w:hAnsiTheme="majorBidi" w:cstheme="majorBidi"/>
        </w:rPr>
        <w:t xml:space="preserve"> 2015, </w:t>
      </w:r>
      <w:proofErr w:type="spellStart"/>
      <w:r w:rsidRPr="00F831E0">
        <w:rPr>
          <w:rFonts w:asciiTheme="majorBidi" w:hAnsiTheme="majorBidi" w:cstheme="majorBidi"/>
        </w:rPr>
        <w:t>Volume</w:t>
      </w:r>
      <w:proofErr w:type="spellEnd"/>
      <w:r w:rsidRPr="00F831E0">
        <w:rPr>
          <w:rFonts w:asciiTheme="majorBidi" w:hAnsiTheme="majorBidi" w:cstheme="majorBidi"/>
        </w:rPr>
        <w:t xml:space="preserve"> 130, </w:t>
      </w:r>
      <w:proofErr w:type="spellStart"/>
      <w:r w:rsidRPr="00F831E0">
        <w:rPr>
          <w:rFonts w:asciiTheme="majorBidi" w:hAnsiTheme="majorBidi" w:cstheme="majorBidi"/>
        </w:rPr>
        <w:t>Issue</w:t>
      </w:r>
      <w:proofErr w:type="spellEnd"/>
      <w:r w:rsidRPr="00F831E0">
        <w:rPr>
          <w:rFonts w:asciiTheme="majorBidi" w:hAnsiTheme="majorBidi" w:cstheme="majorBidi"/>
        </w:rPr>
        <w:t xml:space="preserve"> 1, </w:t>
      </w:r>
      <w:proofErr w:type="spellStart"/>
      <w:r w:rsidRPr="00F831E0">
        <w:rPr>
          <w:rFonts w:asciiTheme="majorBidi" w:hAnsiTheme="majorBidi" w:cstheme="majorBidi"/>
        </w:rPr>
        <w:t>pp</w:t>
      </w:r>
      <w:proofErr w:type="spellEnd"/>
      <w:r w:rsidRPr="00F831E0">
        <w:rPr>
          <w:rFonts w:asciiTheme="majorBidi" w:hAnsiTheme="majorBidi" w:cstheme="majorBidi"/>
        </w:rPr>
        <w:t xml:space="preserve"> 231–249.</w:t>
      </w:r>
    </w:p>
    <w:p w14:paraId="4179E450" w14:textId="77777777" w:rsidR="00427C94" w:rsidRPr="00F831E0" w:rsidRDefault="00427C94" w:rsidP="00427C94">
      <w:pPr>
        <w:jc w:val="both"/>
        <w:rPr>
          <w:rFonts w:asciiTheme="majorBidi" w:hAnsiTheme="majorBidi" w:cstheme="majorBidi"/>
        </w:rPr>
      </w:pPr>
    </w:p>
    <w:p w14:paraId="7C389911" w14:textId="77777777" w:rsidR="00427C94" w:rsidRPr="007969A1" w:rsidRDefault="00427C94" w:rsidP="00427C9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U. </w:t>
      </w:r>
      <w:proofErr w:type="spellStart"/>
      <w:r>
        <w:rPr>
          <w:rFonts w:asciiTheme="majorBidi" w:hAnsiTheme="majorBidi" w:cstheme="majorBidi"/>
        </w:rPr>
        <w:t>Oseni</w:t>
      </w:r>
      <w:proofErr w:type="spellEnd"/>
      <w:r>
        <w:rPr>
          <w:rFonts w:asciiTheme="majorBidi" w:hAnsiTheme="majorBidi" w:cstheme="majorBidi"/>
        </w:rPr>
        <w:t xml:space="preserve">, M. </w:t>
      </w:r>
      <w:proofErr w:type="spellStart"/>
      <w:r>
        <w:rPr>
          <w:rFonts w:asciiTheme="majorBidi" w:hAnsiTheme="majorBidi" w:cstheme="majorBidi"/>
        </w:rPr>
        <w:t>Kabir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Hassan</w:t>
      </w:r>
      <w:proofErr w:type="spellEnd"/>
      <w:r>
        <w:rPr>
          <w:rFonts w:asciiTheme="majorBidi" w:hAnsiTheme="majorBidi" w:cstheme="majorBidi"/>
        </w:rPr>
        <w:t>,</w:t>
      </w:r>
      <w:r w:rsidRPr="007969A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proofErr w:type="spellStart"/>
      <w:r w:rsidRPr="007969A1">
        <w:rPr>
          <w:rFonts w:asciiTheme="majorBidi" w:hAnsiTheme="majorBidi" w:cstheme="majorBidi"/>
        </w:rPr>
        <w:t>Regulating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the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Governing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Law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Clauses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in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Sukuk</w:t>
      </w:r>
      <w:proofErr w:type="spellEnd"/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</w:rPr>
        <w:t>Transactions</w:t>
      </w:r>
      <w:proofErr w:type="spellEnd"/>
      <w:r>
        <w:rPr>
          <w:rFonts w:asciiTheme="majorBidi" w:hAnsiTheme="majorBidi" w:cstheme="majorBidi"/>
        </w:rPr>
        <w:t>”,</w:t>
      </w:r>
      <w:r w:rsidRPr="007969A1">
        <w:rPr>
          <w:rFonts w:asciiTheme="majorBidi" w:hAnsiTheme="majorBidi" w:cstheme="majorBidi"/>
        </w:rPr>
        <w:t xml:space="preserve"> </w:t>
      </w:r>
      <w:proofErr w:type="spellStart"/>
      <w:r w:rsidRPr="007969A1">
        <w:rPr>
          <w:rFonts w:asciiTheme="majorBidi" w:hAnsiTheme="majorBidi" w:cstheme="majorBidi"/>
          <w:i/>
          <w:iCs/>
        </w:rPr>
        <w:t>Journal</w:t>
      </w:r>
      <w:proofErr w:type="spellEnd"/>
      <w:r w:rsidRPr="007969A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969A1">
        <w:rPr>
          <w:rFonts w:asciiTheme="majorBidi" w:hAnsiTheme="majorBidi" w:cstheme="majorBidi"/>
          <w:i/>
          <w:iCs/>
        </w:rPr>
        <w:t>of</w:t>
      </w:r>
      <w:proofErr w:type="spellEnd"/>
      <w:r w:rsidRPr="007969A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969A1">
        <w:rPr>
          <w:rFonts w:asciiTheme="majorBidi" w:hAnsiTheme="majorBidi" w:cstheme="majorBidi"/>
          <w:i/>
          <w:iCs/>
        </w:rPr>
        <w:t>Banking</w:t>
      </w:r>
      <w:proofErr w:type="spellEnd"/>
      <w:r w:rsidRPr="007969A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969A1">
        <w:rPr>
          <w:rFonts w:asciiTheme="majorBidi" w:hAnsiTheme="majorBidi" w:cstheme="majorBidi"/>
          <w:i/>
          <w:iCs/>
        </w:rPr>
        <w:t>Regulation</w:t>
      </w:r>
      <w:proofErr w:type="spellEnd"/>
      <w:r w:rsidRPr="007969A1">
        <w:rPr>
          <w:rFonts w:asciiTheme="majorBidi" w:hAnsiTheme="majorBidi" w:cstheme="majorBidi"/>
        </w:rPr>
        <w:t xml:space="preserve">. 2015, V. 16, </w:t>
      </w:r>
      <w:proofErr w:type="spellStart"/>
      <w:r w:rsidRPr="007969A1">
        <w:rPr>
          <w:rFonts w:asciiTheme="majorBidi" w:hAnsiTheme="majorBidi" w:cstheme="majorBidi"/>
        </w:rPr>
        <w:t>issue</w:t>
      </w:r>
      <w:proofErr w:type="spellEnd"/>
      <w:r w:rsidRPr="007969A1">
        <w:rPr>
          <w:rFonts w:asciiTheme="majorBidi" w:hAnsiTheme="majorBidi" w:cstheme="majorBidi"/>
        </w:rPr>
        <w:t xml:space="preserve"> 3, </w:t>
      </w:r>
      <w:proofErr w:type="spellStart"/>
      <w:r w:rsidRPr="007969A1">
        <w:rPr>
          <w:rFonts w:asciiTheme="majorBidi" w:hAnsiTheme="majorBidi" w:cstheme="majorBidi"/>
        </w:rPr>
        <w:t>pp</w:t>
      </w:r>
      <w:proofErr w:type="spellEnd"/>
      <w:r w:rsidRPr="007969A1">
        <w:rPr>
          <w:rFonts w:asciiTheme="majorBidi" w:hAnsiTheme="majorBidi" w:cstheme="majorBidi"/>
        </w:rPr>
        <w:t xml:space="preserve"> 220-249.</w:t>
      </w:r>
    </w:p>
    <w:p w14:paraId="2255105F" w14:textId="77777777" w:rsidR="00427C94" w:rsidRPr="007969A1" w:rsidRDefault="00427C94" w:rsidP="00427C94">
      <w:pPr>
        <w:jc w:val="both"/>
        <w:rPr>
          <w:rFonts w:asciiTheme="majorBidi" w:hAnsiTheme="majorBidi" w:cstheme="majorBidi"/>
        </w:rPr>
      </w:pPr>
    </w:p>
    <w:p w14:paraId="3461D545" w14:textId="77777777" w:rsidR="00427C94" w:rsidRPr="007969A1" w:rsidRDefault="00427C94" w:rsidP="00427C94">
      <w:pPr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7969A1">
        <w:rPr>
          <w:rFonts w:asciiTheme="majorBidi" w:hAnsiTheme="majorBidi" w:cstheme="majorBidi"/>
          <w:color w:val="000000" w:themeColor="text1"/>
        </w:rPr>
        <w:t>Borensztein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Eduardo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and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Paolo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Mauro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(2002). “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Reviving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Case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for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GDP-</w:t>
      </w:r>
      <w:proofErr w:type="spellStart"/>
      <w:r>
        <w:rPr>
          <w:rFonts w:asciiTheme="majorBidi" w:hAnsiTheme="majorBidi" w:cstheme="majorBidi"/>
          <w:color w:val="000000" w:themeColor="text1"/>
        </w:rPr>
        <w:t>Indexed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Bonds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>”</w:t>
      </w:r>
      <w:r>
        <w:rPr>
          <w:rFonts w:asciiTheme="majorBidi" w:hAnsiTheme="majorBidi" w:cstheme="majorBidi"/>
          <w:color w:val="000000" w:themeColor="text1"/>
        </w:rPr>
        <w:t>,</w:t>
      </w:r>
      <w:r w:rsidRPr="007969A1">
        <w:rPr>
          <w:rFonts w:asciiTheme="majorBidi" w:hAnsiTheme="majorBidi" w:cstheme="majorBidi"/>
          <w:color w:val="000000" w:themeColor="text1"/>
        </w:rPr>
        <w:t xml:space="preserve"> IMF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Policy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Discussion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Paper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No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>. PDP/02/10.</w:t>
      </w:r>
    </w:p>
    <w:p w14:paraId="283F79DB" w14:textId="77777777" w:rsidR="00427C94" w:rsidRPr="007969A1" w:rsidRDefault="00427C94" w:rsidP="00427C94">
      <w:pPr>
        <w:jc w:val="both"/>
        <w:rPr>
          <w:rFonts w:asciiTheme="majorBidi" w:hAnsiTheme="majorBidi" w:cstheme="majorBidi"/>
          <w:color w:val="000000" w:themeColor="text1"/>
        </w:rPr>
      </w:pPr>
    </w:p>
    <w:p w14:paraId="3E772924" w14:textId="48EFC40B" w:rsidR="00427C94" w:rsidRPr="00427C94" w:rsidRDefault="00427C94" w:rsidP="00427C94">
      <w:p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O.I. </w:t>
      </w:r>
      <w:proofErr w:type="spellStart"/>
      <w:r>
        <w:rPr>
          <w:rFonts w:asciiTheme="majorBidi" w:hAnsiTheme="majorBidi" w:cstheme="majorBidi"/>
          <w:color w:val="000000" w:themeColor="text1"/>
        </w:rPr>
        <w:t>Bacha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and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A. </w:t>
      </w:r>
      <w:proofErr w:type="spellStart"/>
      <w:r>
        <w:rPr>
          <w:rFonts w:asciiTheme="majorBidi" w:hAnsiTheme="majorBidi" w:cstheme="majorBidi"/>
          <w:color w:val="000000" w:themeColor="text1"/>
        </w:rPr>
        <w:t>Mirakhor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  <w:r w:rsidRPr="007969A1">
        <w:rPr>
          <w:rFonts w:asciiTheme="majorBidi" w:hAnsiTheme="majorBidi" w:cstheme="majorBidi"/>
          <w:color w:val="000000" w:themeColor="text1"/>
        </w:rPr>
        <w:t xml:space="preserve"> “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Funding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development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infrastructure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without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leverage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: A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risk-sharing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alternative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using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innovative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sukuk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structures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”. </w:t>
      </w:r>
      <w:proofErr w:type="spellStart"/>
      <w:r w:rsidRPr="007969A1">
        <w:rPr>
          <w:rFonts w:asciiTheme="majorBidi" w:hAnsiTheme="majorBidi" w:cstheme="majorBidi"/>
          <w:i/>
          <w:iCs/>
          <w:color w:val="000000" w:themeColor="text1"/>
        </w:rPr>
        <w:t>World</w:t>
      </w:r>
      <w:proofErr w:type="spellEnd"/>
      <w:r w:rsidRPr="007969A1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7969A1">
        <w:rPr>
          <w:rFonts w:asciiTheme="majorBidi" w:hAnsiTheme="majorBidi" w:cstheme="majorBidi"/>
          <w:i/>
          <w:iCs/>
          <w:color w:val="000000" w:themeColor="text1"/>
        </w:rPr>
        <w:t>Economy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March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2018,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Volume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41, </w:t>
      </w:r>
      <w:proofErr w:type="spellStart"/>
      <w:r w:rsidRPr="007969A1">
        <w:rPr>
          <w:rFonts w:asciiTheme="majorBidi" w:hAnsiTheme="majorBidi" w:cstheme="majorBidi"/>
          <w:color w:val="000000" w:themeColor="text1"/>
        </w:rPr>
        <w:t>Issue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3, </w:t>
      </w:r>
      <w:proofErr w:type="spellStart"/>
      <w:r>
        <w:rPr>
          <w:rFonts w:asciiTheme="majorBidi" w:hAnsiTheme="majorBidi" w:cstheme="majorBidi"/>
          <w:color w:val="000000" w:themeColor="text1"/>
        </w:rPr>
        <w:t>pp</w:t>
      </w:r>
      <w:proofErr w:type="spellEnd"/>
      <w:r w:rsidRPr="007969A1">
        <w:rPr>
          <w:rFonts w:asciiTheme="majorBidi" w:hAnsiTheme="majorBidi" w:cstheme="majorBidi"/>
          <w:color w:val="000000" w:themeColor="text1"/>
        </w:rPr>
        <w:t xml:space="preserve"> 752-762.</w:t>
      </w:r>
    </w:p>
    <w:sectPr w:rsidR="00427C94" w:rsidRPr="00427C94" w:rsidSect="00B14D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3C"/>
    <w:rsid w:val="00427C94"/>
    <w:rsid w:val="005E45D1"/>
    <w:rsid w:val="009F3E3C"/>
    <w:rsid w:val="00AA2A28"/>
    <w:rsid w:val="00B14DC9"/>
    <w:rsid w:val="00B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FF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2378</Characters>
  <Application>Microsoft Macintosh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Alif COnsult LLC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Kalimullina</dc:creator>
  <cp:keywords/>
  <dc:description/>
  <cp:lastModifiedBy>Madina Kalimullina</cp:lastModifiedBy>
  <cp:revision>3</cp:revision>
  <dcterms:created xsi:type="dcterms:W3CDTF">2020-10-05T10:54:00Z</dcterms:created>
  <dcterms:modified xsi:type="dcterms:W3CDTF">2020-10-05T10:55:00Z</dcterms:modified>
</cp:coreProperties>
</file>